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b/>
        </w:rPr>
      </w:pPr>
    </w:p>
    <w:p w:rsidR="00E04CA4" w:rsidRDefault="00E04CA4" w:rsidP="00AB5E81">
      <w:pPr>
        <w:tabs>
          <w:tab w:val="left" w:pos="510"/>
        </w:tabs>
        <w:jc w:val="center"/>
        <w:rPr>
          <w:b/>
        </w:rPr>
      </w:pPr>
    </w:p>
    <w:p w:rsidR="000A09F4" w:rsidRDefault="000A09F4" w:rsidP="00AB5E81">
      <w:pPr>
        <w:tabs>
          <w:tab w:val="left" w:pos="510"/>
        </w:tabs>
        <w:jc w:val="center"/>
        <w:rPr>
          <w:b/>
        </w:rPr>
      </w:pPr>
    </w:p>
    <w:p w:rsidR="000A09F4" w:rsidRDefault="000A09F4" w:rsidP="00AB5E81">
      <w:pPr>
        <w:tabs>
          <w:tab w:val="left" w:pos="510"/>
        </w:tabs>
        <w:jc w:val="center"/>
        <w:rPr>
          <w:b/>
        </w:rPr>
      </w:pPr>
    </w:p>
    <w:p w:rsidR="00E55273" w:rsidRPr="00E04CA4" w:rsidRDefault="004B62B1" w:rsidP="00AB5E81">
      <w:pPr>
        <w:tabs>
          <w:tab w:val="left" w:pos="510"/>
        </w:tabs>
        <w:jc w:val="center"/>
        <w:rPr>
          <w:b/>
        </w:rPr>
      </w:pPr>
      <w:r>
        <w:rPr>
          <w:b/>
        </w:rPr>
        <w:t>FOMC Summary</w:t>
      </w:r>
    </w:p>
    <w:p w:rsidR="00AB5E81" w:rsidRDefault="004B62B1" w:rsidP="00752FE5">
      <w:pPr>
        <w:tabs>
          <w:tab w:val="left" w:pos="510"/>
          <w:tab w:val="left" w:pos="8490"/>
        </w:tabs>
      </w:pPr>
      <w:r>
        <w:tab/>
      </w:r>
      <w:r>
        <w:tab/>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4B62B1" w:rsidP="00AB5E81">
      <w:pPr>
        <w:tabs>
          <w:tab w:val="left" w:pos="510"/>
        </w:tabs>
        <w:jc w:val="center"/>
      </w:pPr>
      <w:r>
        <w:t>Name</w:t>
      </w:r>
    </w:p>
    <w:p w:rsidR="00AB5E81" w:rsidRDefault="004B62B1" w:rsidP="00AB5E81">
      <w:pPr>
        <w:tabs>
          <w:tab w:val="left" w:pos="510"/>
        </w:tabs>
        <w:jc w:val="center"/>
      </w:pPr>
      <w:r>
        <w:t>Institute of Affiliation</w:t>
      </w:r>
    </w:p>
    <w:p w:rsidR="00AB5E81" w:rsidRDefault="004B62B1" w:rsidP="00AB5E81">
      <w:pPr>
        <w:tabs>
          <w:tab w:val="left" w:pos="510"/>
        </w:tabs>
        <w:jc w:val="center"/>
      </w:pPr>
      <w:r>
        <w:t>Professor</w:t>
      </w:r>
    </w:p>
    <w:p w:rsidR="00AB5E81" w:rsidRDefault="004B62B1"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BF5B27" w:rsidRPr="00BF5B27" w:rsidRDefault="004B62B1" w:rsidP="00502033">
      <w:pPr>
        <w:jc w:val="center"/>
        <w:rPr>
          <w:b/>
        </w:rPr>
      </w:pPr>
      <w:r w:rsidRPr="00BF5B27">
        <w:rPr>
          <w:b/>
        </w:rPr>
        <w:lastRenderedPageBreak/>
        <w:t>Federal Open Market Committee</w:t>
      </w:r>
    </w:p>
    <w:p w:rsidR="00EB1E0C" w:rsidRDefault="004B62B1" w:rsidP="00F36FAC">
      <w:pPr>
        <w:ind w:firstLine="720"/>
      </w:pPr>
      <w:r>
        <w:t xml:space="preserve">The Federal Open Market Committee is committed to achieving the monetary policy goals that Congress assigns, for instance, maximum employment and price development. </w:t>
      </w:r>
      <w:r w:rsidR="00F36FAC">
        <w:t xml:space="preserve"> It is responsible for controlling monetary policy. It controls three tools which are; reserve requirements, discount rates, and open market operations.</w:t>
      </w:r>
      <w:r>
        <w:t xml:space="preserve"> FOMC is comprised of twelve members where they hold eight annual meetings which are used to discuss the goals of the committee</w:t>
      </w:r>
      <w:r w:rsidR="00BF5B27">
        <w:t xml:space="preserve"> (</w:t>
      </w:r>
      <w:r w:rsidR="00BF5B27" w:rsidRPr="00BF5B27">
        <w:t>https://www.federalreserve.gov/monetarypolicy/fomc.htm</w:t>
      </w:r>
      <w:r w:rsidR="00BF5B27">
        <w:t>)</w:t>
      </w:r>
      <w:r>
        <w:t>. The committee then reviews economic and financial conditions to determine the appropriate monetary policy stance and assess the risks to its long-run goals of price stability and economic growth.</w:t>
      </w:r>
    </w:p>
    <w:p w:rsidR="00F36FAC" w:rsidRDefault="004B62B1" w:rsidP="00F36FAC">
      <w:pPr>
        <w:ind w:firstLine="720"/>
      </w:pPr>
      <w:r>
        <w:t xml:space="preserve"> Alterations in federal funds can trigger a chain of events that affect other short-term </w:t>
      </w:r>
      <w:proofErr w:type="gramStart"/>
      <w:r>
        <w:t>interests</w:t>
      </w:r>
      <w:proofErr w:type="gramEnd"/>
      <w:r>
        <w:t xml:space="preserve"> rates, long-term interest rates, foreign exchange rates, and economic variables like employment. The policymakers</w:t>
      </w:r>
      <w:r w:rsidR="00EB1E0C">
        <w:t xml:space="preserve"> provide a forecast </w:t>
      </w:r>
      <w:r w:rsidR="00BF5B27">
        <w:t>for economic</w:t>
      </w:r>
      <w:r w:rsidR="00EB1E0C">
        <w:t xml:space="preserve"> growth, inflation, unemployment. Changes in real GDP are measured from the fourth quarter to the fourth quarter of the consecutive year</w:t>
      </w:r>
      <w:r w:rsidR="00812950">
        <w:t xml:space="preserve"> </w:t>
      </w:r>
      <w:r w:rsidR="00BF5B27">
        <w:t>(</w:t>
      </w:r>
      <w:r w:rsidR="00BF5B27" w:rsidRPr="00BF5B27">
        <w:t>https://www.federalreserve.gov/monetarypolicy/fomc.htm</w:t>
      </w:r>
      <w:r w:rsidR="00BF5B27">
        <w:t>)</w:t>
      </w:r>
      <w:r w:rsidR="00EB1E0C">
        <w:t>.</w:t>
      </w:r>
    </w:p>
    <w:p w:rsidR="00F2524D" w:rsidRDefault="004B62B1" w:rsidP="00F36FAC">
      <w:pPr>
        <w:ind w:firstLine="720"/>
      </w:pPr>
      <w:r>
        <w:t xml:space="preserve">Progress on vaccinations and fiscal policy actions and </w:t>
      </w:r>
      <w:r w:rsidR="00020525">
        <w:t>unprecedented</w:t>
      </w:r>
      <w:r>
        <w:t xml:space="preserve"> fiscal policy also provide vital support to the recovery. Indicators on economic activities have continued to strengthen with a growth in GDP </w:t>
      </w:r>
      <w:r w:rsidR="00020525">
        <w:t xml:space="preserve">of 6.4% pace, </w:t>
      </w:r>
      <w:r>
        <w:t>which is expected to grow in the coming year 2022</w:t>
      </w:r>
      <w:r w:rsidR="00BF5B27">
        <w:t xml:space="preserve"> (</w:t>
      </w:r>
      <w:r w:rsidR="00BF5B27" w:rsidRPr="00BF5B27">
        <w:t>https://www.federalreserve.gov/monetarypolicy/fomc.htm</w:t>
      </w:r>
      <w:r w:rsidR="00BF5B27">
        <w:t>)</w:t>
      </w:r>
      <w:r>
        <w:t xml:space="preserve">. Most sectors that have been affected </w:t>
      </w:r>
      <w:r w:rsidR="00020525">
        <w:t xml:space="preserve">by the pandemic, like travel, are continuing to improve as the economy continues to open with a rise in housing </w:t>
      </w:r>
      <w:r w:rsidR="0010608E">
        <w:t xml:space="preserve">spending with a surge in </w:t>
      </w:r>
      <w:proofErr w:type="spellStart"/>
      <w:r w:rsidR="0010608E">
        <w:t>Covid</w:t>
      </w:r>
      <w:proofErr w:type="spellEnd"/>
      <w:r w:rsidR="0010608E">
        <w:t xml:space="preserve"> sensitive areas like housing and travel</w:t>
      </w:r>
      <w:r w:rsidR="00020525">
        <w:t xml:space="preserve">. Conditions in the labor market have continued to improve with a growing demand for the labor market sector. The unemployment rate in the labor market was 5.2% in the last year after the pandemic has significantly dropped as more people are willing to work while taking the </w:t>
      </w:r>
      <w:r w:rsidR="00020525">
        <w:lastRenderedPageBreak/>
        <w:t>required measures like vaccinations. This is expected to continue dropping once the virus has been fully contained.</w:t>
      </w:r>
      <w:r w:rsidR="00EB1E0C">
        <w:t xml:space="preserve"> Some of the sectors that continue to experience a fall are the motor </w:t>
      </w:r>
      <w:r w:rsidR="00BF5B27">
        <w:t xml:space="preserve">industries </w:t>
      </w:r>
      <w:r w:rsidR="00EB1E0C">
        <w:t xml:space="preserve">sectors </w:t>
      </w:r>
      <w:r w:rsidR="00BF5B27">
        <w:t>that experienced a worldwide shortage of semiconductors, which interfered with their manufacture and exportation level.</w:t>
      </w:r>
    </w:p>
    <w:p w:rsidR="00020525" w:rsidRDefault="004B62B1" w:rsidP="00F36FAC">
      <w:pPr>
        <w:ind w:firstLine="720"/>
      </w:pPr>
      <w:r>
        <w:t>Joblessness has continued to fall on low-wage workers, especially the African Americans and Hispania's being the most affected.</w:t>
      </w:r>
      <w:r w:rsidR="006C2E34">
        <w:t xml:space="preserve"> PCE inflation has dropped from 4.2% to 2.2% by 2022, and this is expected to remain so in the coming months. As the economy continues to open, there is an upward pressure, especially in some sectors that did not anticipate that the economy would resume almost back to normal. The level of demand they are experiencing.</w:t>
      </w:r>
      <w:r w:rsidR="00BF5B27">
        <w:t xml:space="preserve"> The unemployment rate is expected to fall by 3.5% by the beginning of next year.</w:t>
      </w:r>
      <w:r w:rsidR="006C2E34">
        <w:t xml:space="preserve"> The process of reopening the economy was unprecedented, as was the closing, which could pose an upside risk to inflation</w:t>
      </w:r>
      <w:r w:rsidR="00BF5B27">
        <w:t xml:space="preserve"> (</w:t>
      </w:r>
      <w:r w:rsidR="00BF5B27" w:rsidRPr="00BF5B27">
        <w:t>https://www.federalreserve.gov/monetarypolicy/fomc.htm</w:t>
      </w:r>
      <w:r w:rsidR="00BF5B27">
        <w:t>)</w:t>
      </w:r>
      <w:r w:rsidR="006C2E34">
        <w:t xml:space="preserve">. However, FOMC is committed to ensuring that inflation continues to run with a connection to their goals: maximum employment and prices of goods. </w:t>
      </w:r>
    </w:p>
    <w:p w:rsidR="006C2E34" w:rsidRDefault="004B62B1" w:rsidP="00F36FAC">
      <w:pPr>
        <w:ind w:firstLine="720"/>
      </w:pPr>
      <w:r>
        <w:t xml:space="preserve">As the economy continues to depend on the course of the virus, </w:t>
      </w:r>
      <w:r w:rsidR="00F36FAC">
        <w:t>the committee is committed to ensuring that inflation is lowered while maintaining stable prices and maximum employment. The committee is also confident that some of these goals will be fulfilled by the end of next year. The policy will remain accommodative until they have achieved max employment and stable prices. All these goals are for the service of the public mission and support the economy until it recovers.</w:t>
      </w:r>
    </w:p>
    <w:p w:rsidR="00F2524D" w:rsidRDefault="00F2524D"/>
    <w:p w:rsidR="00752FE5" w:rsidRDefault="00752FE5"/>
    <w:p w:rsidR="00752FE5" w:rsidRPr="00BF5B27" w:rsidRDefault="004B62B1" w:rsidP="00BF5B27">
      <w:pPr>
        <w:jc w:val="center"/>
        <w:rPr>
          <w:b/>
        </w:rPr>
      </w:pPr>
      <w:r w:rsidRPr="00BF5B27">
        <w:rPr>
          <w:b/>
        </w:rPr>
        <w:lastRenderedPageBreak/>
        <w:t>Reference</w:t>
      </w:r>
      <w:r w:rsidR="00502033">
        <w:rPr>
          <w:b/>
        </w:rPr>
        <w:t>s</w:t>
      </w:r>
      <w:bookmarkStart w:id="0" w:name="_GoBack"/>
      <w:bookmarkEnd w:id="0"/>
    </w:p>
    <w:p w:rsidR="00BF5B27" w:rsidRDefault="00814BCA">
      <w:hyperlink r:id="rId7" w:history="1">
        <w:r w:rsidR="004B62B1" w:rsidRPr="00513955">
          <w:rPr>
            <w:rStyle w:val="Hyperlink"/>
          </w:rPr>
          <w:t>https://www.federalreserve.gov/monetarypolicy/fomc.htm</w:t>
        </w:r>
      </w:hyperlink>
    </w:p>
    <w:p w:rsidR="00BF5B27" w:rsidRDefault="00BF5B27"/>
    <w:p w:rsidR="00BF5B27" w:rsidRDefault="00BF5B27"/>
    <w:sectPr w:rsidR="00BF5B27" w:rsidSect="00E552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BCA" w:rsidRDefault="00814BCA">
      <w:pPr>
        <w:spacing w:after="0" w:line="240" w:lineRule="auto"/>
      </w:pPr>
      <w:r>
        <w:separator/>
      </w:r>
    </w:p>
  </w:endnote>
  <w:endnote w:type="continuationSeparator" w:id="0">
    <w:p w:rsidR="00814BCA" w:rsidRDefault="00814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AC" w:rsidRDefault="00F36F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AC" w:rsidRDefault="00F36F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AC" w:rsidRDefault="00F36F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BCA" w:rsidRDefault="00814BCA">
      <w:pPr>
        <w:spacing w:after="0" w:line="240" w:lineRule="auto"/>
      </w:pPr>
      <w:r>
        <w:separator/>
      </w:r>
    </w:p>
  </w:footnote>
  <w:footnote w:type="continuationSeparator" w:id="0">
    <w:p w:rsidR="00814BCA" w:rsidRDefault="00814B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AC" w:rsidRDefault="00F36F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F36FAC" w:rsidRDefault="004B62B1">
        <w:pPr>
          <w:pStyle w:val="Header"/>
          <w:jc w:val="right"/>
        </w:pPr>
        <w:r>
          <w:fldChar w:fldCharType="begin"/>
        </w:r>
        <w:r>
          <w:instrText xml:space="preserve"> PAGE   \* MERGEFORMAT </w:instrText>
        </w:r>
        <w:r>
          <w:fldChar w:fldCharType="separate"/>
        </w:r>
        <w:r w:rsidR="00502033">
          <w:rPr>
            <w:noProof/>
          </w:rPr>
          <w:t>4</w:t>
        </w:r>
        <w:r>
          <w:rPr>
            <w:noProof/>
          </w:rPr>
          <w:fldChar w:fldCharType="end"/>
        </w:r>
      </w:p>
    </w:sdtContent>
  </w:sdt>
  <w:p w:rsidR="00F36FAC" w:rsidRDefault="00F36F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F36FAC" w:rsidRDefault="004B62B1">
        <w:pPr>
          <w:pStyle w:val="Header"/>
          <w:jc w:val="right"/>
        </w:pPr>
        <w:r>
          <w:fldChar w:fldCharType="begin"/>
        </w:r>
        <w:r>
          <w:instrText xml:space="preserve"> PAGE   \* MERGEFORMAT </w:instrText>
        </w:r>
        <w:r>
          <w:fldChar w:fldCharType="separate"/>
        </w:r>
        <w:r w:rsidR="00502033">
          <w:rPr>
            <w:noProof/>
          </w:rPr>
          <w:t>1</w:t>
        </w:r>
        <w:r>
          <w:rPr>
            <w:noProof/>
          </w:rPr>
          <w:fldChar w:fldCharType="end"/>
        </w:r>
      </w:p>
    </w:sdtContent>
  </w:sdt>
  <w:p w:rsidR="00F36FAC" w:rsidRDefault="00F36F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20525"/>
    <w:rsid w:val="000A09F4"/>
    <w:rsid w:val="000E50AD"/>
    <w:rsid w:val="0010608E"/>
    <w:rsid w:val="001615A4"/>
    <w:rsid w:val="00196E21"/>
    <w:rsid w:val="001C09DB"/>
    <w:rsid w:val="0027184F"/>
    <w:rsid w:val="003409E3"/>
    <w:rsid w:val="004A25F9"/>
    <w:rsid w:val="004B62B1"/>
    <w:rsid w:val="00502033"/>
    <w:rsid w:val="00513955"/>
    <w:rsid w:val="0057417E"/>
    <w:rsid w:val="005B674E"/>
    <w:rsid w:val="005F4541"/>
    <w:rsid w:val="006224B6"/>
    <w:rsid w:val="00695B20"/>
    <w:rsid w:val="006C2E34"/>
    <w:rsid w:val="0075064F"/>
    <w:rsid w:val="00752FE5"/>
    <w:rsid w:val="00756748"/>
    <w:rsid w:val="007B7D9D"/>
    <w:rsid w:val="007D64B3"/>
    <w:rsid w:val="00812950"/>
    <w:rsid w:val="00814BCA"/>
    <w:rsid w:val="00814DEB"/>
    <w:rsid w:val="00864108"/>
    <w:rsid w:val="00946599"/>
    <w:rsid w:val="0099068D"/>
    <w:rsid w:val="009D600C"/>
    <w:rsid w:val="00A11323"/>
    <w:rsid w:val="00A27F97"/>
    <w:rsid w:val="00AB5E81"/>
    <w:rsid w:val="00B65125"/>
    <w:rsid w:val="00B77B10"/>
    <w:rsid w:val="00BF5B27"/>
    <w:rsid w:val="00C62B30"/>
    <w:rsid w:val="00CA514C"/>
    <w:rsid w:val="00D04598"/>
    <w:rsid w:val="00DC6CC1"/>
    <w:rsid w:val="00DD7281"/>
    <w:rsid w:val="00E04CA4"/>
    <w:rsid w:val="00E55273"/>
    <w:rsid w:val="00EB1E0C"/>
    <w:rsid w:val="00EB41CE"/>
    <w:rsid w:val="00F2524D"/>
    <w:rsid w:val="00F36FAC"/>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federalreserve.gov/monetarypolicy/fomc.htm"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2021-11-01T23:20:00Z</dcterms:created>
  <dcterms:modified xsi:type="dcterms:W3CDTF">2021-11-02T04:09:00Z</dcterms:modified>
</cp:coreProperties>
</file>